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93FDB0">
      <w:pPr>
        <w:rPr>
          <w:rFonts w:hint="eastAsia" w:ascii="cajcd fnta8" w:hAnsi="cajcd fnta8" w:eastAsia="方正大标宋简体" w:cs="Arial Unicode MS"/>
          <w:b/>
          <w:color w:val="FF0000"/>
          <w:kern w:val="0"/>
          <w:sz w:val="130"/>
          <w:szCs w:val="130"/>
          <w:highlight w:val="none"/>
        </w:rPr>
      </w:pPr>
      <w:bookmarkStart w:id="0" w:name="_GoBack"/>
      <w:bookmarkEnd w:id="0"/>
      <w:r>
        <w:rPr>
          <w:rFonts w:ascii="cajcd fnta8" w:hAnsi="cajcd fnta8" w:eastAsia="方正大标宋简体" w:cs="Arial Unicode MS"/>
          <w:b/>
          <w:color w:val="FF0000"/>
          <w:spacing w:val="1"/>
          <w:w w:val="41"/>
          <w:kern w:val="0"/>
          <w:sz w:val="130"/>
          <w:szCs w:val="130"/>
          <w:highlight w:val="none"/>
          <w:fitText w:val="7597" w:id="-993784576"/>
        </w:rPr>
        <w:t>南京航空航天大学数学学院文</w:t>
      </w:r>
      <w:r>
        <w:rPr>
          <w:rFonts w:ascii="cajcd fnta8" w:hAnsi="cajcd fnta8" w:eastAsia="方正大标宋简体" w:cs="Arial Unicode MS"/>
          <w:b/>
          <w:color w:val="FF0000"/>
          <w:spacing w:val="53"/>
          <w:w w:val="41"/>
          <w:kern w:val="0"/>
          <w:sz w:val="130"/>
          <w:szCs w:val="130"/>
          <w:highlight w:val="none"/>
          <w:fitText w:val="7597" w:id="-993784576"/>
        </w:rPr>
        <w:t>件</w:t>
      </w:r>
    </w:p>
    <w:p w14:paraId="59EC1C71">
      <w:pPr>
        <w:rPr>
          <w:rFonts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院字〔</w:t>
      </w:r>
      <w:r>
        <w:rPr>
          <w:rFonts w:ascii="仿宋" w:hAnsi="仿宋" w:eastAsia="仿宋" w:cs="仿宋"/>
          <w:color w:val="000000"/>
          <w:kern w:val="0"/>
          <w:sz w:val="32"/>
          <w:szCs w:val="32"/>
          <w:highlight w:val="none"/>
        </w:rPr>
        <w:t>2024</w:t>
      </w:r>
      <w:r>
        <w:rPr>
          <w:rFonts w:hint="eastAsia" w:ascii="仿宋" w:hAnsi="仿宋" w:eastAsia="仿宋" w:cs="仿宋"/>
          <w:color w:val="000000"/>
          <w:kern w:val="0"/>
          <w:sz w:val="32"/>
          <w:szCs w:val="32"/>
          <w:highlight w:val="none"/>
        </w:rPr>
        <w:t>〕</w:t>
      </w:r>
      <w:r>
        <w:rPr>
          <w:rFonts w:hint="eastAsia" w:ascii="仿宋" w:hAnsi="仿宋" w:eastAsia="仿宋" w:cs="仿宋"/>
          <w:color w:val="000000"/>
          <w:kern w:val="0"/>
          <w:sz w:val="32"/>
          <w:szCs w:val="32"/>
          <w:highlight w:val="none"/>
          <w:lang w:val="en-US" w:eastAsia="zh-CN"/>
        </w:rPr>
        <w:t>2</w:t>
      </w:r>
      <w:r>
        <w:rPr>
          <w:rFonts w:hint="eastAsia" w:ascii="仿宋" w:hAnsi="仿宋" w:eastAsia="仿宋" w:cs="仿宋"/>
          <w:color w:val="000000"/>
          <w:kern w:val="0"/>
          <w:sz w:val="32"/>
          <w:szCs w:val="32"/>
          <w:highlight w:val="none"/>
        </w:rPr>
        <w:t>号</w:t>
      </w:r>
    </w:p>
    <w:p w14:paraId="4D801D47">
      <w:pPr>
        <w:rPr>
          <w:rFonts w:ascii="仿宋" w:hAnsi="仿宋" w:eastAsia="仿宋" w:cs="仿宋"/>
          <w:color w:val="000000"/>
          <w:kern w:val="0"/>
          <w:sz w:val="32"/>
          <w:szCs w:val="32"/>
          <w:highlight w:val="none"/>
        </w:rPr>
      </w:pPr>
      <w:r>
        <w:rPr>
          <w:highlight w:val="none"/>
        </w:rPr>
        <w:pict>
          <v:rect id="_x0000_i1025" o:spt="1" style="height:3pt;width:415.3pt;" fillcolor="#FF0000" filled="t" stroked="f" coordsize="21600,21600" o:hr="t" o:hrstd="t" o:hrnoshade="t">
            <v:path/>
            <v:fill on="t" focussize="0,0"/>
            <v:stroke on="f"/>
            <v:imagedata o:title=""/>
            <o:lock v:ext="edit"/>
            <w10:wrap type="none"/>
            <w10:anchorlock/>
          </v:rect>
        </w:pict>
      </w:r>
    </w:p>
    <w:p w14:paraId="70A6BC7E">
      <w:pPr>
        <w:adjustRightInd w:val="0"/>
        <w:snapToGrid w:val="0"/>
        <w:spacing w:before="468" w:beforeLines="150" w:after="468" w:afterLines="150"/>
        <w:rPr>
          <w:rFonts w:ascii="仿宋_GB2312" w:eastAsia="仿宋_GB2312"/>
          <w:b/>
          <w:bCs/>
          <w:sz w:val="32"/>
          <w:szCs w:val="36"/>
          <w:highlight w:val="none"/>
        </w:rPr>
      </w:pPr>
      <w:r>
        <w:rPr>
          <w:rFonts w:hint="eastAsia" w:ascii="华文中宋" w:hAnsi="华文中宋" w:eastAsia="华文中宋" w:cs="方正小标宋简体"/>
          <w:sz w:val="44"/>
          <w:szCs w:val="44"/>
          <w:highlight w:val="none"/>
        </w:rPr>
        <w:t>关于印发</w:t>
      </w:r>
      <w:r>
        <w:rPr>
          <w:rFonts w:ascii="华文中宋" w:hAnsi="华文中宋" w:eastAsia="华文中宋" w:cs="方正小标宋简体"/>
          <w:sz w:val="44"/>
          <w:szCs w:val="44"/>
          <w:highlight w:val="none"/>
        </w:rPr>
        <w:t>《数学学院本科</w:t>
      </w:r>
      <w:r>
        <w:rPr>
          <w:rFonts w:hint="eastAsia" w:ascii="华文中宋" w:hAnsi="华文中宋" w:eastAsia="华文中宋" w:cs="方正小标宋简体"/>
          <w:sz w:val="44"/>
          <w:szCs w:val="44"/>
          <w:highlight w:val="none"/>
        </w:rPr>
        <w:t>生</w:t>
      </w:r>
      <w:r>
        <w:rPr>
          <w:rFonts w:ascii="华文中宋" w:hAnsi="华文中宋" w:eastAsia="华文中宋" w:cs="方正小标宋简体"/>
          <w:sz w:val="44"/>
          <w:szCs w:val="44"/>
          <w:highlight w:val="none"/>
        </w:rPr>
        <w:t>进入教师科研团队实施办法》</w:t>
      </w:r>
      <w:r>
        <w:rPr>
          <w:rFonts w:hint="eastAsia" w:ascii="华文中宋" w:hAnsi="华文中宋" w:eastAsia="华文中宋" w:cs="方正小标宋简体"/>
          <w:sz w:val="44"/>
          <w:szCs w:val="44"/>
          <w:highlight w:val="none"/>
        </w:rPr>
        <w:t>的通知</w:t>
      </w:r>
    </w:p>
    <w:p w14:paraId="2A0458E6">
      <w:pPr>
        <w:pStyle w:val="2"/>
        <w:snapToGrid w:val="0"/>
        <w:spacing w:before="156" w:beforeAutospacing="1" w:after="156"/>
        <w:jc w:val="both"/>
        <w:rPr>
          <w:highlight w:val="none"/>
        </w:rPr>
      </w:pPr>
      <w:r>
        <w:rPr>
          <w:rFonts w:hint="eastAsia"/>
          <w:highlight w:val="none"/>
        </w:rPr>
        <w:t>各</w:t>
      </w:r>
      <w:r>
        <w:rPr>
          <w:highlight w:val="none"/>
        </w:rPr>
        <w:t>系、中心、办</w:t>
      </w:r>
      <w:r>
        <w:rPr>
          <w:rFonts w:hint="eastAsia"/>
          <w:highlight w:val="none"/>
        </w:rPr>
        <w:t>、</w:t>
      </w:r>
      <w:r>
        <w:rPr>
          <w:highlight w:val="none"/>
        </w:rPr>
        <w:t>各位老师</w:t>
      </w:r>
      <w:r>
        <w:rPr>
          <w:rFonts w:hint="eastAsia"/>
          <w:highlight w:val="none"/>
        </w:rPr>
        <w:t>、</w:t>
      </w:r>
      <w:r>
        <w:rPr>
          <w:highlight w:val="none"/>
        </w:rPr>
        <w:t>各位同学：</w:t>
      </w:r>
    </w:p>
    <w:p w14:paraId="31D67F06">
      <w:pPr>
        <w:jc w:val="both"/>
        <w:rPr>
          <w:highlight w:val="none"/>
        </w:rPr>
      </w:pPr>
      <w:r>
        <w:rPr>
          <w:highlight w:val="none"/>
        </w:rPr>
        <w:tab/>
      </w:r>
      <w:r>
        <w:rPr>
          <w:rFonts w:hint="eastAsia"/>
          <w:highlight w:val="none"/>
        </w:rPr>
        <w:t xml:space="preserve"> 为深化本科教育教学改革，围绕航空航天领域、人工智能、大数据及其他新兴产业对数学人才的重大需求，增强学生的创新精神和科研能力，加快卓越理科人才建设，结合</w:t>
      </w:r>
      <w:r>
        <w:rPr>
          <w:highlight w:val="none"/>
        </w:rPr>
        <w:t>学院实际，</w:t>
      </w:r>
      <w:r>
        <w:rPr>
          <w:rFonts w:hint="eastAsia"/>
          <w:highlight w:val="none"/>
        </w:rPr>
        <w:t>制定</w:t>
      </w:r>
      <w:r>
        <w:rPr>
          <w:highlight w:val="none"/>
        </w:rPr>
        <w:t>《</w:t>
      </w:r>
      <w:r>
        <w:rPr>
          <w:rFonts w:hint="eastAsia"/>
          <w:highlight w:val="none"/>
        </w:rPr>
        <w:t>数学学院本科生进入教师科研团队实施办法</w:t>
      </w:r>
      <w:r>
        <w:rPr>
          <w:highlight w:val="none"/>
        </w:rPr>
        <w:t>》</w:t>
      </w:r>
      <w:r>
        <w:rPr>
          <w:rFonts w:hint="eastAsia"/>
          <w:highlight w:val="none"/>
        </w:rPr>
        <w:t>。</w:t>
      </w:r>
      <w:r>
        <w:rPr>
          <w:highlight w:val="none"/>
        </w:rPr>
        <w:t>该</w:t>
      </w:r>
      <w:r>
        <w:rPr>
          <w:rFonts w:hint="eastAsia"/>
          <w:highlight w:val="none"/>
        </w:rPr>
        <w:t>办法</w:t>
      </w:r>
      <w:r>
        <w:rPr>
          <w:highlight w:val="none"/>
        </w:rPr>
        <w:t>经学院党政</w:t>
      </w:r>
      <w:r>
        <w:rPr>
          <w:rFonts w:hint="eastAsia"/>
          <w:highlight w:val="none"/>
        </w:rPr>
        <w:t>联席会讨论</w:t>
      </w:r>
      <w:r>
        <w:rPr>
          <w:highlight w:val="none"/>
        </w:rPr>
        <w:t>通过</w:t>
      </w:r>
      <w:r>
        <w:rPr>
          <w:rFonts w:hint="eastAsia"/>
          <w:highlight w:val="none"/>
        </w:rPr>
        <w:t>，</w:t>
      </w:r>
      <w:r>
        <w:rPr>
          <w:highlight w:val="none"/>
        </w:rPr>
        <w:t>现</w:t>
      </w:r>
      <w:r>
        <w:rPr>
          <w:rFonts w:hint="eastAsia"/>
          <w:highlight w:val="none"/>
        </w:rPr>
        <w:t>予以</w:t>
      </w:r>
      <w:r>
        <w:rPr>
          <w:highlight w:val="none"/>
        </w:rPr>
        <w:t>印发，请遵照执行。</w:t>
      </w:r>
    </w:p>
    <w:p w14:paraId="3F1199C7">
      <w:pPr>
        <w:jc w:val="both"/>
        <w:rPr>
          <w:highlight w:val="none"/>
        </w:rPr>
      </w:pPr>
    </w:p>
    <w:p w14:paraId="73C21BB8">
      <w:pPr>
        <w:jc w:val="both"/>
        <w:rPr>
          <w:highlight w:val="none"/>
        </w:rPr>
      </w:pPr>
    </w:p>
    <w:p w14:paraId="26709E7F">
      <w:pPr>
        <w:jc w:val="right"/>
        <w:rPr>
          <w:highlight w:val="none"/>
        </w:rPr>
      </w:pPr>
      <w:r>
        <w:rPr>
          <w:rFonts w:hint="eastAsia"/>
          <w:highlight w:val="none"/>
        </w:rPr>
        <w:t>南京</w:t>
      </w:r>
      <w:r>
        <w:rPr>
          <w:highlight w:val="none"/>
        </w:rPr>
        <w:t>航空航天大学数学学院</w:t>
      </w:r>
    </w:p>
    <w:p w14:paraId="7B60861B">
      <w:pPr>
        <w:jc w:val="right"/>
        <w:rPr>
          <w:highlight w:val="none"/>
        </w:rPr>
      </w:pPr>
      <w:r>
        <w:rPr>
          <w:highlight w:val="none"/>
        </w:rPr>
        <w:t>2024</w:t>
      </w:r>
      <w:r>
        <w:rPr>
          <w:rFonts w:hint="eastAsia"/>
          <w:highlight w:val="none"/>
        </w:rPr>
        <w:t>年</w:t>
      </w:r>
      <w:r>
        <w:rPr>
          <w:rFonts w:hint="eastAsia"/>
          <w:highlight w:val="none"/>
          <w:lang w:val="en-US" w:eastAsia="zh-CN"/>
        </w:rPr>
        <w:t>3</w:t>
      </w:r>
      <w:r>
        <w:rPr>
          <w:rFonts w:hint="eastAsia"/>
          <w:highlight w:val="none"/>
        </w:rPr>
        <w:t>月2</w:t>
      </w:r>
      <w:r>
        <w:rPr>
          <w:rFonts w:hint="eastAsia"/>
          <w:highlight w:val="none"/>
          <w:lang w:val="en-US" w:eastAsia="zh-CN"/>
        </w:rPr>
        <w:t>8</w:t>
      </w:r>
      <w:r>
        <w:rPr>
          <w:rFonts w:hint="eastAsia"/>
          <w:highlight w:val="none"/>
        </w:rPr>
        <w:t>日</w:t>
      </w:r>
    </w:p>
    <w:p w14:paraId="06E0FB8E">
      <w:pPr>
        <w:jc w:val="both"/>
        <w:rPr>
          <w:highlight w:val="none"/>
        </w:rPr>
      </w:pPr>
    </w:p>
    <w:p w14:paraId="742CEE4C">
      <w:pPr>
        <w:pStyle w:val="2"/>
        <w:snapToGrid w:val="0"/>
        <w:spacing w:before="156" w:beforeAutospacing="1" w:after="156"/>
        <w:jc w:val="both"/>
        <w:rPr>
          <w:rFonts w:hint="eastAsia" w:ascii="华文仿宋" w:hAnsi="华文仿宋" w:eastAsia="华文仿宋" w:cs="华文仿宋"/>
          <w:b w:val="0"/>
          <w:bCs w:val="0"/>
          <w:kern w:val="2"/>
          <w:sz w:val="30"/>
          <w:szCs w:val="30"/>
          <w:highlight w:val="none"/>
          <w:lang w:val="en-US" w:eastAsia="zh-CN" w:bidi="ar-SA"/>
        </w:rPr>
      </w:pPr>
      <w:r>
        <w:rPr>
          <w:rFonts w:hint="eastAsia" w:ascii="华文仿宋" w:hAnsi="华文仿宋" w:eastAsia="华文仿宋" w:cs="华文仿宋"/>
          <w:b w:val="0"/>
          <w:bCs w:val="0"/>
          <w:kern w:val="2"/>
          <w:sz w:val="30"/>
          <w:szCs w:val="30"/>
          <w:highlight w:val="none"/>
          <w:lang w:val="en-US" w:eastAsia="zh-CN" w:bidi="ar-SA"/>
        </w:rPr>
        <w:t>附件：数学学院本科生进入教师科研团队实施办法</w:t>
      </w:r>
    </w:p>
    <w:p w14:paraId="09BCE773">
      <w:pPr>
        <w:jc w:val="both"/>
        <w:rPr>
          <w:rFonts w:hint="eastAsia"/>
          <w:highlight w:val="none"/>
        </w:rPr>
      </w:pPr>
    </w:p>
    <w:p w14:paraId="7A0F3898">
      <w:pPr>
        <w:pStyle w:val="2"/>
        <w:snapToGrid w:val="0"/>
        <w:spacing w:before="156" w:beforeAutospacing="1" w:after="156"/>
        <w:ind w:firstLine="643"/>
        <w:rPr>
          <w:rFonts w:ascii="华文仿宋" w:hAnsi="华文仿宋" w:eastAsia="华文仿宋" w:cs="华文仿宋"/>
          <w:sz w:val="30"/>
          <w:szCs w:val="30"/>
          <w:highlight w:val="none"/>
        </w:rPr>
      </w:pPr>
      <w:r>
        <w:rPr>
          <w:rFonts w:hint="eastAsia"/>
          <w:highlight w:val="none"/>
        </w:rPr>
        <w:t>数学学院本科生进入教师科研团队实施办法</w:t>
      </w:r>
    </w:p>
    <w:p w14:paraId="428CDCA2">
      <w:pPr>
        <w:rPr>
          <w:highlight w:val="none"/>
        </w:rPr>
      </w:pPr>
      <w:r>
        <w:rPr>
          <w:rFonts w:hint="eastAsia"/>
          <w:highlight w:val="none"/>
        </w:rPr>
        <w:t>第一章  总则</w:t>
      </w:r>
    </w:p>
    <w:p w14:paraId="15D49C8D">
      <w:pPr>
        <w:ind w:firstLine="600" w:firstLineChars="200"/>
        <w:jc w:val="both"/>
        <w:rPr>
          <w:highlight w:val="none"/>
        </w:rPr>
      </w:pPr>
      <w:r>
        <w:rPr>
          <w:rFonts w:hint="eastAsia"/>
          <w:highlight w:val="none"/>
        </w:rPr>
        <w:t>第一条 为深化本科教育教学改革，围绕航空航天领域、人工智能、大数据及其他新兴产业对数学人才的重大需求，增强学生的创新精神和科研能力，加快卓越理科人才建设，现推行本科生进入教师科研团队制度，为具有较好科研能力和较高科研热情的本科生提供参与科学研究的实践机会，强化数学研究和应用的融合发展，形成教学科研互动的人才培养新模式。</w:t>
      </w:r>
    </w:p>
    <w:p w14:paraId="6A29FD20">
      <w:pPr>
        <w:ind w:firstLine="600" w:firstLineChars="200"/>
        <w:jc w:val="both"/>
        <w:rPr>
          <w:highlight w:val="none"/>
        </w:rPr>
      </w:pPr>
      <w:r>
        <w:rPr>
          <w:rFonts w:hint="eastAsia"/>
          <w:highlight w:val="none"/>
        </w:rPr>
        <w:t>第二条 本科生进入教师科研团队制度采用双向选择的运作方式，并采用科研团队考核的方式完成终期考核。</w:t>
      </w:r>
    </w:p>
    <w:p w14:paraId="6C3E417C">
      <w:pPr>
        <w:ind w:firstLine="600" w:firstLineChars="200"/>
        <w:rPr>
          <w:highlight w:val="none"/>
        </w:rPr>
      </w:pPr>
      <w:r>
        <w:rPr>
          <w:rFonts w:hint="eastAsia"/>
          <w:highlight w:val="none"/>
        </w:rPr>
        <w:t>第二章  管理机构</w:t>
      </w:r>
    </w:p>
    <w:p w14:paraId="6A84C587">
      <w:pPr>
        <w:ind w:firstLine="600" w:firstLineChars="200"/>
        <w:jc w:val="both"/>
        <w:rPr>
          <w:highlight w:val="none"/>
        </w:rPr>
      </w:pPr>
      <w:r>
        <w:rPr>
          <w:rFonts w:hint="eastAsia"/>
          <w:highlight w:val="none"/>
        </w:rPr>
        <w:t>第三条 为确保本科生进入教师科研团队制度的顺利实施，学院设置工作组，组长由学院院长担任，副组长由分管教学副院长、分管科研副院长、学院副书记担任；工作组成员包括学院科研秘书、教学办、学生工作管理人员。</w:t>
      </w:r>
    </w:p>
    <w:p w14:paraId="7DDC7A43">
      <w:pPr>
        <w:ind w:firstLine="600" w:firstLineChars="200"/>
        <w:jc w:val="both"/>
        <w:rPr>
          <w:highlight w:val="none"/>
        </w:rPr>
      </w:pPr>
      <w:r>
        <w:rPr>
          <w:rFonts w:hint="eastAsia"/>
          <w:highlight w:val="none"/>
        </w:rPr>
        <w:t>第四条 工作组组长及副组长主要负责指导、监督与评价工作，具体包括：对教师科研团队资格进行审查和考核，定期听取教师科研团队和工作组成员的工作进展汇报；对本科生的选聘、岗位设置、考核评定、奖励发放等程序进行监督；确保本科生进入教师科研团队制度的顺利实施并保持长效管理。</w:t>
      </w:r>
    </w:p>
    <w:p w14:paraId="67B0C464">
      <w:pPr>
        <w:ind w:firstLine="600" w:firstLineChars="200"/>
        <w:jc w:val="both"/>
        <w:rPr>
          <w:highlight w:val="none"/>
        </w:rPr>
      </w:pPr>
      <w:r>
        <w:rPr>
          <w:rFonts w:hint="eastAsia"/>
          <w:highlight w:val="none"/>
        </w:rPr>
        <w:t>第五条 工作组成员主要负责实施和总体协调管理工作，具体包括：对学院教师科研团队的宣传与动员工作；制定相关制度和管理规章；组织本科生进入团队的选拔；了解考核进入科研团队的本科生工作情况，并定期向工作组组长及副组长进行汇报，组织学院年度考核；对相关工作材料进行归档与备案。</w:t>
      </w:r>
    </w:p>
    <w:p w14:paraId="34E78C3A">
      <w:pPr>
        <w:rPr>
          <w:highlight w:val="none"/>
        </w:rPr>
      </w:pPr>
      <w:r>
        <w:rPr>
          <w:rFonts w:hint="eastAsia"/>
          <w:highlight w:val="none"/>
        </w:rPr>
        <w:t>第三章  教师科研团队的条件与职责</w:t>
      </w:r>
    </w:p>
    <w:p w14:paraId="12373759">
      <w:pPr>
        <w:ind w:firstLine="600" w:firstLineChars="200"/>
        <w:jc w:val="both"/>
        <w:rPr>
          <w:highlight w:val="none"/>
        </w:rPr>
      </w:pPr>
      <w:r>
        <w:rPr>
          <w:rFonts w:hint="eastAsia"/>
          <w:highlight w:val="none"/>
        </w:rPr>
        <w:t>第六条 教师科研团队通过讲座等宣传方式，让学生了解科研团队，与学生互动交流，让学生体验良好的学术氛围，激发学生的科研潜能。</w:t>
      </w:r>
    </w:p>
    <w:p w14:paraId="1D1EADBA">
      <w:pPr>
        <w:ind w:firstLine="600" w:firstLineChars="200"/>
        <w:jc w:val="both"/>
        <w:rPr>
          <w:highlight w:val="none"/>
        </w:rPr>
      </w:pPr>
      <w:r>
        <w:rPr>
          <w:rFonts w:hint="eastAsia"/>
          <w:highlight w:val="none"/>
        </w:rPr>
        <w:t>第七条 教师科研团队向学院工作组提交申请配备本科生的需求，团队人均指导的本科生总人数原则上不超过3人。</w:t>
      </w:r>
    </w:p>
    <w:p w14:paraId="2412C636">
      <w:pPr>
        <w:ind w:firstLine="600" w:firstLineChars="200"/>
        <w:jc w:val="both"/>
        <w:rPr>
          <w:highlight w:val="none"/>
        </w:rPr>
      </w:pPr>
      <w:r>
        <w:rPr>
          <w:rFonts w:hint="eastAsia"/>
          <w:highlight w:val="none"/>
        </w:rPr>
        <w:t xml:space="preserve">第八条 教师科研团队的主要职责： </w:t>
      </w:r>
    </w:p>
    <w:p w14:paraId="0D89CC42">
      <w:pPr>
        <w:ind w:firstLine="600" w:firstLineChars="200"/>
        <w:jc w:val="both"/>
        <w:rPr>
          <w:highlight w:val="none"/>
        </w:rPr>
      </w:pPr>
      <w:r>
        <w:rPr>
          <w:rFonts w:hint="eastAsia"/>
          <w:highlight w:val="none"/>
        </w:rPr>
        <w:t>（一）教师科研团队定期与接收的本科生进行工作研讨与交流，指导本科生开展科研工作，激发科研热情，培养科研能力；</w:t>
      </w:r>
    </w:p>
    <w:p w14:paraId="2263A7E9">
      <w:pPr>
        <w:ind w:firstLine="600" w:firstLineChars="200"/>
        <w:jc w:val="both"/>
        <w:rPr>
          <w:highlight w:val="none"/>
        </w:rPr>
      </w:pPr>
      <w:r>
        <w:rPr>
          <w:rFonts w:hint="eastAsia"/>
          <w:highlight w:val="none"/>
        </w:rPr>
        <w:t>（二）严格要求本科生规范科研行为，鼓励并指导学生参加学术讲座、文化活动以及各类竞赛（“互联网+”创新创业大赛、</w:t>
      </w:r>
      <w:r>
        <w:rPr>
          <w:highlight w:val="none"/>
        </w:rPr>
        <w:fldChar w:fldCharType="begin"/>
      </w:r>
      <w:r>
        <w:rPr>
          <w:highlight w:val="none"/>
        </w:rPr>
        <w:instrText xml:space="preserve"> HYPERLINK "https://baike.baidu.com/item/%E2%80%9C%E6%8C%91%E6%88%98%E6%9D%AF%E2%80%9D%E4%B8%AD%E5%9B%BD%E5%A4%A7%E5%AD%A6%E7%94%9F%E5%88%9B%E4%B8%9A%E8%AE%A1%E5%88%92%E7%AB%9E%E8%B5%9B/9837613?fromModule=lemma_inlink" \t "https://baike.baidu.com/item/%E2%80%9C%E6%8C%91%E6%88%98%E6%9D%AF%E2%80%9D%E5%85%A8%E5%9B%BD%E5%A4%A7%E5%AD%A6%E7%94%9F%E8%AF%BE%E5%A4%96%E5%AD%A6%E6%9C%AF%E7%A7%91%E6%8A%80%E4%BD%9C%E5%93%81%E7%AB%9E%E8%B5%9B/_blank" </w:instrText>
      </w:r>
      <w:r>
        <w:rPr>
          <w:highlight w:val="none"/>
        </w:rPr>
        <w:fldChar w:fldCharType="separate"/>
      </w:r>
      <w:r>
        <w:rPr>
          <w:highlight w:val="none"/>
        </w:rPr>
        <w:t>“挑战杯”中国大学生创业计划竞赛</w:t>
      </w:r>
      <w:r>
        <w:rPr>
          <w:highlight w:val="none"/>
        </w:rPr>
        <w:fldChar w:fldCharType="end"/>
      </w:r>
      <w:r>
        <w:rPr>
          <w:rFonts w:hint="eastAsia"/>
          <w:highlight w:val="none"/>
        </w:rPr>
        <w:t>、</w:t>
      </w:r>
      <w:r>
        <w:rPr>
          <w:highlight w:val="none"/>
        </w:rPr>
        <w:t>“挑战杯”全国大学生课外学术科技作品竞赛</w:t>
      </w:r>
      <w:r>
        <w:rPr>
          <w:rFonts w:hint="eastAsia"/>
          <w:highlight w:val="none"/>
        </w:rPr>
        <w:t>、全国大学生数学建模竞赛、全国大学生数学竞赛（专业组）、全国大学生统计建模大赛、全国仿真创新应用大赛、丘成桐大学数学竞赛、阿里巴巴全球数学竞赛等）和创新实践活动（大学生创新训练计划等），拓宽学术视野，培养研究能力;</w:t>
      </w:r>
    </w:p>
    <w:p w14:paraId="364B5DED">
      <w:pPr>
        <w:ind w:firstLine="600" w:firstLineChars="200"/>
        <w:jc w:val="both"/>
        <w:rPr>
          <w:highlight w:val="none"/>
        </w:rPr>
      </w:pPr>
      <w:r>
        <w:rPr>
          <w:rFonts w:hint="eastAsia"/>
          <w:highlight w:val="none"/>
        </w:rPr>
        <w:t>（三）主动了解、关心团队本科生的学习、生活与科研情况，及时给予指导和帮助。</w:t>
      </w:r>
    </w:p>
    <w:p w14:paraId="0D2515BE">
      <w:pPr>
        <w:rPr>
          <w:highlight w:val="none"/>
        </w:rPr>
      </w:pPr>
      <w:r>
        <w:rPr>
          <w:rFonts w:hint="eastAsia"/>
          <w:highlight w:val="none"/>
        </w:rPr>
        <w:t>第四章 进入教师科研团队本科生的条件与要求</w:t>
      </w:r>
    </w:p>
    <w:p w14:paraId="16A8C8AD">
      <w:pPr>
        <w:ind w:firstLine="600" w:firstLineChars="200"/>
        <w:jc w:val="both"/>
        <w:rPr>
          <w:highlight w:val="none"/>
        </w:rPr>
      </w:pPr>
      <w:r>
        <w:rPr>
          <w:rFonts w:hint="eastAsia"/>
          <w:highlight w:val="none"/>
        </w:rPr>
        <w:t>第九条 进入科研团队本科生的基本条件：</w:t>
      </w:r>
    </w:p>
    <w:p w14:paraId="531670CB">
      <w:pPr>
        <w:ind w:firstLine="600" w:firstLineChars="200"/>
        <w:jc w:val="both"/>
        <w:rPr>
          <w:highlight w:val="none"/>
        </w:rPr>
      </w:pPr>
      <w:r>
        <w:rPr>
          <w:rFonts w:hint="eastAsia"/>
          <w:highlight w:val="none"/>
        </w:rPr>
        <w:t>（一）原则上全日制本科二年级及以上学生；</w:t>
      </w:r>
    </w:p>
    <w:p w14:paraId="3A8FB9D1">
      <w:pPr>
        <w:ind w:firstLine="600" w:firstLineChars="200"/>
        <w:jc w:val="both"/>
        <w:rPr>
          <w:highlight w:val="none"/>
        </w:rPr>
      </w:pPr>
      <w:r>
        <w:rPr>
          <w:rFonts w:hint="eastAsia"/>
          <w:highlight w:val="none"/>
        </w:rPr>
        <w:t>（二）具有较高的思想政治素质，身体状况佳，道德品质良好，无违反校纪校规行为；</w:t>
      </w:r>
    </w:p>
    <w:p w14:paraId="40E3419B">
      <w:pPr>
        <w:ind w:firstLine="600" w:firstLineChars="200"/>
        <w:jc w:val="both"/>
        <w:rPr>
          <w:highlight w:val="none"/>
        </w:rPr>
      </w:pPr>
      <w:r>
        <w:rPr>
          <w:rFonts w:hint="eastAsia"/>
          <w:highlight w:val="none"/>
        </w:rPr>
        <w:t>（三）责任心强，积极热情，能够保证工作时间，具备较强的语言表达和交流沟通能力；</w:t>
      </w:r>
    </w:p>
    <w:p w14:paraId="72D6A1B7">
      <w:pPr>
        <w:ind w:firstLine="600" w:firstLineChars="200"/>
        <w:jc w:val="both"/>
        <w:rPr>
          <w:highlight w:val="none"/>
        </w:rPr>
      </w:pPr>
      <w:r>
        <w:rPr>
          <w:rFonts w:hint="eastAsia"/>
          <w:highlight w:val="none"/>
        </w:rPr>
        <w:t>（四）学习成绩优良，在大学阶段平均绩点原则上在3.0以上；</w:t>
      </w:r>
    </w:p>
    <w:p w14:paraId="53BA2298">
      <w:pPr>
        <w:ind w:firstLine="600" w:firstLineChars="200"/>
        <w:jc w:val="both"/>
        <w:rPr>
          <w:highlight w:val="none"/>
        </w:rPr>
      </w:pPr>
      <w:r>
        <w:rPr>
          <w:rFonts w:hint="eastAsia"/>
          <w:highlight w:val="none"/>
        </w:rPr>
        <w:t>（五）有较高的写作能力和综合分析能力。</w:t>
      </w:r>
    </w:p>
    <w:p w14:paraId="3C2014A8">
      <w:pPr>
        <w:ind w:firstLine="600" w:firstLineChars="200"/>
        <w:jc w:val="both"/>
        <w:rPr>
          <w:highlight w:val="none"/>
        </w:rPr>
      </w:pPr>
      <w:r>
        <w:rPr>
          <w:rFonts w:hint="eastAsia"/>
          <w:highlight w:val="none"/>
        </w:rPr>
        <w:t>第十条 进入科研团队本科生的主要要求：</w:t>
      </w:r>
    </w:p>
    <w:p w14:paraId="5ECB1365">
      <w:pPr>
        <w:ind w:firstLine="600" w:firstLineChars="200"/>
        <w:jc w:val="both"/>
        <w:rPr>
          <w:highlight w:val="none"/>
        </w:rPr>
      </w:pPr>
      <w:r>
        <w:rPr>
          <w:rFonts w:hint="eastAsia"/>
          <w:highlight w:val="none"/>
        </w:rPr>
        <w:t>（一）在完成学业的基础上开展科研工作，包括熟悉课题方向，参加讨论班学习，参与调研、资料整理、论文和研究报告的撰写等；</w:t>
      </w:r>
    </w:p>
    <w:p w14:paraId="55F5616A">
      <w:pPr>
        <w:ind w:firstLine="600" w:firstLineChars="200"/>
        <w:jc w:val="both"/>
        <w:rPr>
          <w:highlight w:val="none"/>
        </w:rPr>
      </w:pPr>
      <w:r>
        <w:rPr>
          <w:rFonts w:hint="eastAsia"/>
          <w:highlight w:val="none"/>
        </w:rPr>
        <w:t>（二）按要求完成科研团队的工作安排，将专业知识的学习与科研工作相结合，定期与科研团队教师进行沟通；</w:t>
      </w:r>
    </w:p>
    <w:p w14:paraId="690D1536">
      <w:pPr>
        <w:ind w:firstLine="600" w:firstLineChars="200"/>
        <w:jc w:val="both"/>
        <w:rPr>
          <w:highlight w:val="none"/>
        </w:rPr>
      </w:pPr>
      <w:r>
        <w:rPr>
          <w:rFonts w:hint="eastAsia"/>
          <w:highlight w:val="none"/>
        </w:rPr>
        <w:t>（三）进入科研团队当年，按要求申报大学生创新训练计划项目1项，指导老师为科研团队教师成员。</w:t>
      </w:r>
    </w:p>
    <w:p w14:paraId="1D45E7DE">
      <w:pPr>
        <w:rPr>
          <w:highlight w:val="none"/>
        </w:rPr>
      </w:pPr>
      <w:r>
        <w:rPr>
          <w:rFonts w:hint="eastAsia"/>
          <w:highlight w:val="none"/>
        </w:rPr>
        <w:t>第五章 选拔程序</w:t>
      </w:r>
    </w:p>
    <w:p w14:paraId="1CE00DF3">
      <w:pPr>
        <w:ind w:firstLine="600" w:firstLineChars="200"/>
        <w:jc w:val="both"/>
        <w:rPr>
          <w:highlight w:val="none"/>
        </w:rPr>
      </w:pPr>
      <w:r>
        <w:rPr>
          <w:rFonts w:hint="eastAsia"/>
          <w:highlight w:val="none"/>
        </w:rPr>
        <w:t>第十一条 进入科研团队本科生的选拔程序：</w:t>
      </w:r>
    </w:p>
    <w:p w14:paraId="17DCBF3B">
      <w:pPr>
        <w:ind w:firstLine="600" w:firstLineChars="200"/>
        <w:jc w:val="both"/>
        <w:rPr>
          <w:highlight w:val="none"/>
        </w:rPr>
      </w:pPr>
      <w:r>
        <w:rPr>
          <w:rFonts w:hint="eastAsia"/>
          <w:highlight w:val="none"/>
        </w:rPr>
        <w:t>（一）由教师科研团队提出配备本科生的申请，对科研团队教师成员、意愿接受的本科生年级、专业、人数及其他特殊要求进行详细说明；</w:t>
      </w:r>
    </w:p>
    <w:p w14:paraId="411680C0">
      <w:pPr>
        <w:ind w:firstLine="600" w:firstLineChars="200"/>
        <w:jc w:val="both"/>
        <w:rPr>
          <w:rFonts w:ascii="仿宋_GB2312" w:hAnsi="仿宋" w:eastAsia="仿宋_GB2312" w:cs="宋体"/>
          <w:kern w:val="0"/>
          <w:sz w:val="32"/>
          <w:szCs w:val="28"/>
          <w:highlight w:val="none"/>
        </w:rPr>
      </w:pPr>
      <w:r>
        <w:rPr>
          <w:rFonts w:hint="eastAsia"/>
          <w:highlight w:val="none"/>
        </w:rPr>
        <w:t>（二）学院工作组对教师科研团队配备本科生的申请进行汇总后，面向学院公布团队简介、指导学生人数等相关信息；</w:t>
      </w:r>
    </w:p>
    <w:p w14:paraId="7D4749CC">
      <w:pPr>
        <w:ind w:firstLine="600" w:firstLineChars="200"/>
        <w:jc w:val="both"/>
        <w:rPr>
          <w:highlight w:val="none"/>
        </w:rPr>
      </w:pPr>
      <w:r>
        <w:rPr>
          <w:rFonts w:hint="eastAsia"/>
          <w:highlight w:val="none"/>
        </w:rPr>
        <w:t>（三）符合申请条件的学生查询科研团队的研究领域，结合自身专业、兴趣选择科研团队，并填写《数学学院本科生进入科研团队申请表》，并提交给学院相关工作人员；</w:t>
      </w:r>
    </w:p>
    <w:p w14:paraId="6A4DD999">
      <w:pPr>
        <w:ind w:firstLine="600" w:firstLineChars="200"/>
        <w:jc w:val="both"/>
        <w:rPr>
          <w:highlight w:val="none"/>
        </w:rPr>
      </w:pPr>
      <w:r>
        <w:rPr>
          <w:rFonts w:hint="eastAsia"/>
          <w:highlight w:val="none"/>
        </w:rPr>
        <w:t>（四）科研团队根据报名情况自行组织面试选拔，并将选拔结果通知到学生。</w:t>
      </w:r>
    </w:p>
    <w:p w14:paraId="022DBAC5">
      <w:pPr>
        <w:rPr>
          <w:highlight w:val="none"/>
        </w:rPr>
      </w:pPr>
      <w:r>
        <w:rPr>
          <w:rFonts w:hint="eastAsia"/>
          <w:highlight w:val="none"/>
        </w:rPr>
        <w:t>第六章 激励与考核</w:t>
      </w:r>
    </w:p>
    <w:p w14:paraId="0B1BD99C">
      <w:pPr>
        <w:ind w:firstLine="600" w:firstLineChars="200"/>
        <w:jc w:val="both"/>
        <w:rPr>
          <w:highlight w:val="none"/>
        </w:rPr>
      </w:pPr>
      <w:r>
        <w:rPr>
          <w:rFonts w:hint="eastAsia"/>
          <w:highlight w:val="none"/>
        </w:rPr>
        <w:t>第十二条 进入科研团队的本科生研究课题内容可作为毕业论文选题，其毕业论文指导教师可优先选择由科研团队教师担任；在科创项目评选中，进入科研团队的学生可优先考虑；在参加国内外学术会议活动中，进入科研团队的学生可优先获得经费资助等。</w:t>
      </w:r>
    </w:p>
    <w:p w14:paraId="4850FBA2">
      <w:pPr>
        <w:ind w:firstLine="600" w:firstLineChars="200"/>
        <w:jc w:val="both"/>
        <w:rPr>
          <w:highlight w:val="none"/>
        </w:rPr>
      </w:pPr>
      <w:r>
        <w:rPr>
          <w:rFonts w:hint="eastAsia"/>
          <w:highlight w:val="none"/>
        </w:rPr>
        <w:t>第十三条 进入科研团队本科生的考核：</w:t>
      </w:r>
    </w:p>
    <w:p w14:paraId="27EEC55B">
      <w:pPr>
        <w:ind w:firstLine="600" w:firstLineChars="200"/>
        <w:jc w:val="both"/>
        <w:rPr>
          <w:highlight w:val="none"/>
        </w:rPr>
      </w:pPr>
      <w:r>
        <w:rPr>
          <w:rFonts w:hint="eastAsia"/>
          <w:highlight w:val="none"/>
        </w:rPr>
        <w:t>（一）本科生在进入教师科研团队一年后，需参加科研团队开展的终期考核；</w:t>
      </w:r>
    </w:p>
    <w:p w14:paraId="4C3C6D79">
      <w:pPr>
        <w:ind w:firstLine="600" w:firstLineChars="200"/>
        <w:jc w:val="both"/>
        <w:rPr>
          <w:highlight w:val="none"/>
        </w:rPr>
      </w:pPr>
      <w:r>
        <w:rPr>
          <w:rFonts w:hint="eastAsia"/>
          <w:highlight w:val="none"/>
        </w:rPr>
        <w:t>（二）考核成绩分为两个档次：第一层次是合格，积极参加科研团队的科研活动，科研工作表现良好，大学生创新训练计划项目结题完成；第二层次是优秀，在合格的基础上，发表高水平学术论文1篇及以上，或获得学科类竞赛奖励1次及以上。同时，根据参与竞赛获奖情况，给予如下经费奖励。</w:t>
      </w:r>
    </w:p>
    <w:tbl>
      <w:tblPr>
        <w:tblStyle w:val="4"/>
        <w:tblpPr w:leftFromText="180" w:rightFromText="180" w:vertAnchor="text" w:horzAnchor="margin" w:tblpY="118"/>
        <w:tblOverlap w:val="never"/>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5"/>
        <w:gridCol w:w="1526"/>
        <w:gridCol w:w="1526"/>
        <w:gridCol w:w="1661"/>
        <w:gridCol w:w="1418"/>
      </w:tblGrid>
      <w:tr w14:paraId="3B93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2795" w:type="dxa"/>
            <w:vAlign w:val="center"/>
          </w:tcPr>
          <w:p w14:paraId="0C43AB3F">
            <w:pPr>
              <w:rPr>
                <w:b/>
                <w:bCs/>
                <w:highlight w:val="none"/>
              </w:rPr>
            </w:pPr>
            <w:r>
              <w:rPr>
                <w:rFonts w:hint="eastAsia"/>
                <w:b/>
                <w:bCs/>
                <w:highlight w:val="none"/>
              </w:rPr>
              <w:t>竞赛名称</w:t>
            </w:r>
          </w:p>
        </w:tc>
        <w:tc>
          <w:tcPr>
            <w:tcW w:w="1526" w:type="dxa"/>
            <w:vAlign w:val="center"/>
          </w:tcPr>
          <w:p w14:paraId="18BBCF75">
            <w:pPr>
              <w:rPr>
                <w:b/>
                <w:bCs/>
                <w:highlight w:val="none"/>
              </w:rPr>
            </w:pPr>
            <w:r>
              <w:rPr>
                <w:rFonts w:hint="eastAsia"/>
                <w:b/>
                <w:bCs/>
                <w:highlight w:val="none"/>
              </w:rPr>
              <w:t>第一等次</w:t>
            </w:r>
          </w:p>
        </w:tc>
        <w:tc>
          <w:tcPr>
            <w:tcW w:w="1526" w:type="dxa"/>
            <w:vAlign w:val="center"/>
          </w:tcPr>
          <w:p w14:paraId="29D3FC6B">
            <w:pPr>
              <w:rPr>
                <w:b/>
                <w:bCs/>
                <w:highlight w:val="none"/>
              </w:rPr>
            </w:pPr>
            <w:r>
              <w:rPr>
                <w:rFonts w:hint="eastAsia"/>
                <w:b/>
                <w:bCs/>
                <w:highlight w:val="none"/>
              </w:rPr>
              <w:t>第二等次</w:t>
            </w:r>
          </w:p>
        </w:tc>
        <w:tc>
          <w:tcPr>
            <w:tcW w:w="1661" w:type="dxa"/>
            <w:vAlign w:val="center"/>
          </w:tcPr>
          <w:p w14:paraId="7BD0F676">
            <w:pPr>
              <w:rPr>
                <w:b/>
                <w:bCs/>
                <w:highlight w:val="none"/>
              </w:rPr>
            </w:pPr>
            <w:r>
              <w:rPr>
                <w:rFonts w:hint="eastAsia"/>
                <w:b/>
                <w:bCs/>
                <w:highlight w:val="none"/>
              </w:rPr>
              <w:t>第三等次</w:t>
            </w:r>
          </w:p>
        </w:tc>
        <w:tc>
          <w:tcPr>
            <w:tcW w:w="1418" w:type="dxa"/>
            <w:vAlign w:val="center"/>
          </w:tcPr>
          <w:p w14:paraId="6FD716EE">
            <w:pPr>
              <w:rPr>
                <w:b/>
                <w:bCs/>
                <w:highlight w:val="none"/>
              </w:rPr>
            </w:pPr>
            <w:r>
              <w:rPr>
                <w:rFonts w:hint="eastAsia"/>
                <w:b/>
                <w:bCs/>
                <w:highlight w:val="none"/>
              </w:rPr>
              <w:t>第四等次</w:t>
            </w:r>
          </w:p>
        </w:tc>
      </w:tr>
      <w:tr w14:paraId="3C27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2795" w:type="dxa"/>
            <w:vAlign w:val="center"/>
          </w:tcPr>
          <w:p w14:paraId="2DC60820">
            <w:pPr>
              <w:snapToGrid w:val="0"/>
              <w:spacing w:line="300" w:lineRule="auto"/>
              <w:rPr>
                <w:highlight w:val="none"/>
              </w:rPr>
            </w:pPr>
            <w:r>
              <w:rPr>
                <w:rFonts w:hint="eastAsia"/>
                <w:highlight w:val="none"/>
              </w:rPr>
              <w:t>全国大学生数学建模竞赛</w:t>
            </w:r>
          </w:p>
        </w:tc>
        <w:tc>
          <w:tcPr>
            <w:tcW w:w="1526" w:type="dxa"/>
            <w:vAlign w:val="center"/>
          </w:tcPr>
          <w:p w14:paraId="645705C5">
            <w:pPr>
              <w:snapToGrid w:val="0"/>
              <w:spacing w:line="300" w:lineRule="auto"/>
              <w:rPr>
                <w:highlight w:val="none"/>
              </w:rPr>
            </w:pPr>
            <w:r>
              <w:rPr>
                <w:rFonts w:hint="eastAsia"/>
                <w:highlight w:val="none"/>
              </w:rPr>
              <w:t>3000</w:t>
            </w:r>
          </w:p>
        </w:tc>
        <w:tc>
          <w:tcPr>
            <w:tcW w:w="1526" w:type="dxa"/>
            <w:vAlign w:val="center"/>
          </w:tcPr>
          <w:p w14:paraId="3C3ACE6A">
            <w:pPr>
              <w:snapToGrid w:val="0"/>
              <w:spacing w:line="300" w:lineRule="auto"/>
              <w:rPr>
                <w:highlight w:val="none"/>
              </w:rPr>
            </w:pPr>
            <w:r>
              <w:rPr>
                <w:rFonts w:hint="eastAsia"/>
                <w:highlight w:val="none"/>
              </w:rPr>
              <w:t>1500</w:t>
            </w:r>
          </w:p>
        </w:tc>
        <w:tc>
          <w:tcPr>
            <w:tcW w:w="1661" w:type="dxa"/>
            <w:vAlign w:val="center"/>
          </w:tcPr>
          <w:p w14:paraId="7E6CFDC0">
            <w:pPr>
              <w:snapToGrid w:val="0"/>
              <w:spacing w:line="300" w:lineRule="auto"/>
              <w:rPr>
                <w:highlight w:val="none"/>
              </w:rPr>
            </w:pPr>
          </w:p>
        </w:tc>
        <w:tc>
          <w:tcPr>
            <w:tcW w:w="1418" w:type="dxa"/>
            <w:vAlign w:val="center"/>
          </w:tcPr>
          <w:p w14:paraId="696ED8F4">
            <w:pPr>
              <w:snapToGrid w:val="0"/>
              <w:spacing w:line="300" w:lineRule="auto"/>
              <w:rPr>
                <w:highlight w:val="none"/>
              </w:rPr>
            </w:pPr>
          </w:p>
        </w:tc>
      </w:tr>
      <w:tr w14:paraId="1F007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795" w:type="dxa"/>
            <w:vAlign w:val="center"/>
          </w:tcPr>
          <w:p w14:paraId="087CC74B">
            <w:pPr>
              <w:snapToGrid w:val="0"/>
              <w:spacing w:line="300" w:lineRule="auto"/>
              <w:rPr>
                <w:highlight w:val="none"/>
              </w:rPr>
            </w:pPr>
            <w:r>
              <w:rPr>
                <w:rFonts w:hint="eastAsia"/>
                <w:highlight w:val="none"/>
              </w:rPr>
              <w:t>全国大学生数学竞赛（专业组）</w:t>
            </w:r>
          </w:p>
        </w:tc>
        <w:tc>
          <w:tcPr>
            <w:tcW w:w="1526" w:type="dxa"/>
            <w:vAlign w:val="center"/>
          </w:tcPr>
          <w:p w14:paraId="02417172">
            <w:pPr>
              <w:snapToGrid w:val="0"/>
              <w:spacing w:line="300" w:lineRule="auto"/>
              <w:rPr>
                <w:highlight w:val="none"/>
              </w:rPr>
            </w:pPr>
            <w:r>
              <w:rPr>
                <w:rFonts w:hint="eastAsia"/>
                <w:highlight w:val="none"/>
              </w:rPr>
              <w:t>3000</w:t>
            </w:r>
          </w:p>
        </w:tc>
        <w:tc>
          <w:tcPr>
            <w:tcW w:w="1526" w:type="dxa"/>
            <w:vAlign w:val="center"/>
          </w:tcPr>
          <w:p w14:paraId="2ED18206">
            <w:pPr>
              <w:snapToGrid w:val="0"/>
              <w:spacing w:line="300" w:lineRule="auto"/>
              <w:rPr>
                <w:highlight w:val="none"/>
              </w:rPr>
            </w:pPr>
            <w:r>
              <w:rPr>
                <w:rFonts w:hint="eastAsia"/>
                <w:highlight w:val="none"/>
              </w:rPr>
              <w:t>1500</w:t>
            </w:r>
          </w:p>
        </w:tc>
        <w:tc>
          <w:tcPr>
            <w:tcW w:w="1661" w:type="dxa"/>
            <w:vAlign w:val="center"/>
          </w:tcPr>
          <w:p w14:paraId="3CEECCEB">
            <w:pPr>
              <w:snapToGrid w:val="0"/>
              <w:spacing w:line="300" w:lineRule="auto"/>
              <w:rPr>
                <w:highlight w:val="none"/>
              </w:rPr>
            </w:pPr>
            <w:r>
              <w:rPr>
                <w:rFonts w:hint="eastAsia"/>
                <w:highlight w:val="none"/>
              </w:rPr>
              <w:t>1000</w:t>
            </w:r>
          </w:p>
        </w:tc>
        <w:tc>
          <w:tcPr>
            <w:tcW w:w="1418" w:type="dxa"/>
            <w:vAlign w:val="center"/>
          </w:tcPr>
          <w:p w14:paraId="2D975CD1">
            <w:pPr>
              <w:snapToGrid w:val="0"/>
              <w:spacing w:line="300" w:lineRule="auto"/>
              <w:rPr>
                <w:highlight w:val="none"/>
              </w:rPr>
            </w:pPr>
          </w:p>
        </w:tc>
      </w:tr>
      <w:tr w14:paraId="7189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2795" w:type="dxa"/>
            <w:vAlign w:val="center"/>
          </w:tcPr>
          <w:p w14:paraId="446F24FF">
            <w:pPr>
              <w:snapToGrid w:val="0"/>
              <w:spacing w:line="300" w:lineRule="auto"/>
              <w:rPr>
                <w:highlight w:val="none"/>
              </w:rPr>
            </w:pPr>
            <w:r>
              <w:rPr>
                <w:rFonts w:hint="eastAsia"/>
                <w:highlight w:val="none"/>
              </w:rPr>
              <w:t>丘成桐大学数学竞赛（总决赛）</w:t>
            </w:r>
          </w:p>
        </w:tc>
        <w:tc>
          <w:tcPr>
            <w:tcW w:w="1526" w:type="dxa"/>
            <w:vAlign w:val="center"/>
          </w:tcPr>
          <w:p w14:paraId="6E33C859">
            <w:pPr>
              <w:snapToGrid w:val="0"/>
              <w:spacing w:line="300" w:lineRule="auto"/>
              <w:rPr>
                <w:highlight w:val="none"/>
              </w:rPr>
            </w:pPr>
            <w:r>
              <w:rPr>
                <w:rFonts w:hint="eastAsia"/>
                <w:highlight w:val="none"/>
              </w:rPr>
              <w:t>10000</w:t>
            </w:r>
          </w:p>
        </w:tc>
        <w:tc>
          <w:tcPr>
            <w:tcW w:w="1526" w:type="dxa"/>
            <w:vAlign w:val="center"/>
          </w:tcPr>
          <w:p w14:paraId="490A02D5">
            <w:pPr>
              <w:snapToGrid w:val="0"/>
              <w:spacing w:line="300" w:lineRule="auto"/>
              <w:rPr>
                <w:highlight w:val="none"/>
              </w:rPr>
            </w:pPr>
            <w:r>
              <w:rPr>
                <w:rFonts w:hint="eastAsia"/>
                <w:highlight w:val="none"/>
              </w:rPr>
              <w:t>6000</w:t>
            </w:r>
          </w:p>
        </w:tc>
        <w:tc>
          <w:tcPr>
            <w:tcW w:w="1661" w:type="dxa"/>
            <w:vAlign w:val="center"/>
          </w:tcPr>
          <w:p w14:paraId="1C4EBAA1">
            <w:pPr>
              <w:snapToGrid w:val="0"/>
              <w:spacing w:line="300" w:lineRule="auto"/>
              <w:rPr>
                <w:highlight w:val="none"/>
              </w:rPr>
            </w:pPr>
            <w:r>
              <w:rPr>
                <w:rFonts w:hint="eastAsia"/>
                <w:highlight w:val="none"/>
              </w:rPr>
              <w:t>4000</w:t>
            </w:r>
          </w:p>
        </w:tc>
        <w:tc>
          <w:tcPr>
            <w:tcW w:w="1418" w:type="dxa"/>
            <w:vAlign w:val="center"/>
          </w:tcPr>
          <w:p w14:paraId="2F3FEAD9">
            <w:pPr>
              <w:snapToGrid w:val="0"/>
              <w:spacing w:line="300" w:lineRule="auto"/>
              <w:rPr>
                <w:highlight w:val="none"/>
              </w:rPr>
            </w:pPr>
            <w:r>
              <w:rPr>
                <w:rFonts w:hint="eastAsia"/>
                <w:highlight w:val="none"/>
              </w:rPr>
              <w:t>2000</w:t>
            </w:r>
          </w:p>
        </w:tc>
      </w:tr>
      <w:tr w14:paraId="5BC03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795" w:type="dxa"/>
            <w:vAlign w:val="center"/>
          </w:tcPr>
          <w:p w14:paraId="79252411">
            <w:pPr>
              <w:snapToGrid w:val="0"/>
              <w:spacing w:line="300" w:lineRule="auto"/>
              <w:rPr>
                <w:highlight w:val="none"/>
              </w:rPr>
            </w:pPr>
            <w:r>
              <w:rPr>
                <w:rFonts w:hint="eastAsia"/>
                <w:highlight w:val="none"/>
              </w:rPr>
              <w:t>阿里巴巴全球数学竞赛（决赛）</w:t>
            </w:r>
          </w:p>
        </w:tc>
        <w:tc>
          <w:tcPr>
            <w:tcW w:w="1526" w:type="dxa"/>
            <w:vAlign w:val="center"/>
          </w:tcPr>
          <w:p w14:paraId="7501B075">
            <w:pPr>
              <w:snapToGrid w:val="0"/>
              <w:spacing w:line="300" w:lineRule="auto"/>
              <w:rPr>
                <w:highlight w:val="none"/>
              </w:rPr>
            </w:pPr>
            <w:r>
              <w:rPr>
                <w:rFonts w:hint="eastAsia"/>
                <w:highlight w:val="none"/>
              </w:rPr>
              <w:t>10000</w:t>
            </w:r>
          </w:p>
        </w:tc>
        <w:tc>
          <w:tcPr>
            <w:tcW w:w="1526" w:type="dxa"/>
            <w:vAlign w:val="center"/>
          </w:tcPr>
          <w:p w14:paraId="504D4921">
            <w:pPr>
              <w:snapToGrid w:val="0"/>
              <w:spacing w:line="300" w:lineRule="auto"/>
              <w:rPr>
                <w:highlight w:val="none"/>
              </w:rPr>
            </w:pPr>
            <w:r>
              <w:rPr>
                <w:rFonts w:hint="eastAsia"/>
                <w:highlight w:val="none"/>
              </w:rPr>
              <w:t>6000</w:t>
            </w:r>
          </w:p>
        </w:tc>
        <w:tc>
          <w:tcPr>
            <w:tcW w:w="1661" w:type="dxa"/>
            <w:vAlign w:val="center"/>
          </w:tcPr>
          <w:p w14:paraId="4FC554BB">
            <w:pPr>
              <w:snapToGrid w:val="0"/>
              <w:spacing w:line="300" w:lineRule="auto"/>
              <w:rPr>
                <w:highlight w:val="none"/>
              </w:rPr>
            </w:pPr>
            <w:r>
              <w:rPr>
                <w:rFonts w:hint="eastAsia"/>
                <w:highlight w:val="none"/>
              </w:rPr>
              <w:t>4000</w:t>
            </w:r>
          </w:p>
        </w:tc>
        <w:tc>
          <w:tcPr>
            <w:tcW w:w="1418" w:type="dxa"/>
            <w:vAlign w:val="center"/>
          </w:tcPr>
          <w:p w14:paraId="4E994525">
            <w:pPr>
              <w:snapToGrid w:val="0"/>
              <w:spacing w:line="300" w:lineRule="auto"/>
              <w:rPr>
                <w:highlight w:val="none"/>
              </w:rPr>
            </w:pPr>
            <w:r>
              <w:rPr>
                <w:rFonts w:hint="eastAsia"/>
                <w:highlight w:val="none"/>
              </w:rPr>
              <w:t>2000</w:t>
            </w:r>
          </w:p>
        </w:tc>
      </w:tr>
    </w:tbl>
    <w:p w14:paraId="48B8B3E4">
      <w:pPr>
        <w:spacing w:before="156" w:beforeLines="50"/>
        <w:ind w:firstLine="600" w:firstLineChars="200"/>
        <w:jc w:val="both"/>
        <w:rPr>
          <w:highlight w:val="none"/>
        </w:rPr>
      </w:pPr>
      <w:r>
        <w:rPr>
          <w:rFonts w:hint="eastAsia"/>
          <w:highlight w:val="none"/>
        </w:rPr>
        <w:t>（三）有以下任一情况发生的，应停止聘用：获聘后因任何原因中止或终止学业；因特殊原因或身体健康状况，不适合继续从事科研工作；学业成绩显著下滑；研究成果存在剽窃、伪造数据或其他违背学术道德行为。</w:t>
      </w:r>
    </w:p>
    <w:p w14:paraId="67A568F8">
      <w:pPr>
        <w:rPr>
          <w:highlight w:val="none"/>
        </w:rPr>
      </w:pPr>
      <w:r>
        <w:rPr>
          <w:rFonts w:hint="eastAsia"/>
          <w:highlight w:val="none"/>
        </w:rPr>
        <w:t>第七章 附则</w:t>
      </w:r>
    </w:p>
    <w:p w14:paraId="107C8EFE">
      <w:pPr>
        <w:ind w:firstLine="600" w:firstLineChars="200"/>
        <w:jc w:val="both"/>
        <w:rPr>
          <w:highlight w:val="none"/>
        </w:rPr>
      </w:pPr>
      <w:r>
        <w:rPr>
          <w:rFonts w:hint="eastAsia"/>
          <w:highlight w:val="none"/>
        </w:rPr>
        <w:t>第十四条 本办法自颁布之日起执行，由学院本科生进入科研团队工作组负责解释。</w:t>
      </w:r>
    </w:p>
    <w:p w14:paraId="40834904">
      <w:pPr>
        <w:ind w:firstLine="600" w:firstLineChars="200"/>
        <w:jc w:val="both"/>
        <w:rPr>
          <w:highlight w:val="none"/>
        </w:rPr>
      </w:pPr>
      <w:r>
        <w:rPr>
          <w:rFonts w:hint="eastAsia"/>
          <w:highlight w:val="none"/>
        </w:rPr>
        <w:t xml:space="preserve">          </w:t>
      </w:r>
    </w:p>
    <w:p w14:paraId="4C97E3C7">
      <w:pPr>
        <w:ind w:firstLine="600" w:firstLineChars="200"/>
        <w:jc w:val="both"/>
        <w:rPr>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Calibri Light">
    <w:panose1 w:val="020F0302020204030204"/>
    <w:charset w:val="00"/>
    <w:family w:val="swiss"/>
    <w:pitch w:val="default"/>
    <w:sig w:usb0="E4002EFF" w:usb1="C200247B" w:usb2="00000009" w:usb3="00000000" w:csb0="200001FF" w:csb1="00000000"/>
  </w:font>
  <w:font w:name="cajcd fnta8">
    <w:altName w:val="Wingdings 3"/>
    <w:panose1 w:val="00000000000000000000"/>
    <w:charset w:val="02"/>
    <w:family w:val="roman"/>
    <w:pitch w:val="default"/>
    <w:sig w:usb0="00000000" w:usb1="00000000" w:usb2="00000000" w:usb3="00000000" w:csb0="80000000" w:csb1="00000000"/>
  </w:font>
  <w:font w:name="Wingdings 3">
    <w:panose1 w:val="05040102010807070707"/>
    <w:charset w:val="00"/>
    <w:family w:val="auto"/>
    <w:pitch w:val="default"/>
    <w:sig w:usb0="00000000" w:usb1="00000000" w:usb2="00000000" w:usb3="00000000" w:csb0="80000000" w:csb1="00000000"/>
  </w:font>
  <w:font w:name="方正大标宋简体">
    <w:panose1 w:val="02000000000000000000"/>
    <w:charset w:val="86"/>
    <w:family w:val="script"/>
    <w:pitch w:val="default"/>
    <w:sig w:usb0="A00002BF" w:usb1="184F6CFA" w:usb2="00000012" w:usb3="00000000" w:csb0="00040001" w:csb1="00000000"/>
  </w:font>
  <w:font w:name="Arial Unicode MS">
    <w:panose1 w:val="020B0604020202020204"/>
    <w:charset w:val="86"/>
    <w:family w:val="swiss"/>
    <w:pitch w:val="default"/>
    <w:sig w:usb0="F7FFAEFF" w:usb1="F9DFFFFF" w:usb2="0000007F" w:usb3="00000000" w:csb0="203F01FF" w:csb1="DFFF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0MzNiYzFiMjlkYWQxZjA3ZDI3OTgyZmRlZjQ3ZmMifQ=="/>
  </w:docVars>
  <w:rsids>
    <w:rsidRoot w:val="007726B4"/>
    <w:rsid w:val="00004B9A"/>
    <w:rsid w:val="00006E1C"/>
    <w:rsid w:val="000704DD"/>
    <w:rsid w:val="000721B2"/>
    <w:rsid w:val="000E26BB"/>
    <w:rsid w:val="001B55AD"/>
    <w:rsid w:val="002A5550"/>
    <w:rsid w:val="00342BC8"/>
    <w:rsid w:val="003B52F4"/>
    <w:rsid w:val="004127DE"/>
    <w:rsid w:val="00443140"/>
    <w:rsid w:val="004C3E19"/>
    <w:rsid w:val="004F5C67"/>
    <w:rsid w:val="00537118"/>
    <w:rsid w:val="005839C8"/>
    <w:rsid w:val="0061078A"/>
    <w:rsid w:val="00655EC2"/>
    <w:rsid w:val="006836B7"/>
    <w:rsid w:val="00723800"/>
    <w:rsid w:val="00746EE6"/>
    <w:rsid w:val="007726B4"/>
    <w:rsid w:val="00851979"/>
    <w:rsid w:val="008D10FB"/>
    <w:rsid w:val="008F0492"/>
    <w:rsid w:val="008F24C7"/>
    <w:rsid w:val="008F430A"/>
    <w:rsid w:val="0093056F"/>
    <w:rsid w:val="00957B12"/>
    <w:rsid w:val="00A203A9"/>
    <w:rsid w:val="00A97C36"/>
    <w:rsid w:val="00AF217C"/>
    <w:rsid w:val="00B60D12"/>
    <w:rsid w:val="00B752D7"/>
    <w:rsid w:val="00BD277C"/>
    <w:rsid w:val="00BF3410"/>
    <w:rsid w:val="00D72AC0"/>
    <w:rsid w:val="00D76347"/>
    <w:rsid w:val="00D96597"/>
    <w:rsid w:val="00DD4987"/>
    <w:rsid w:val="00DD5F94"/>
    <w:rsid w:val="00E83159"/>
    <w:rsid w:val="00EB4FE2"/>
    <w:rsid w:val="03F0591A"/>
    <w:rsid w:val="06A44219"/>
    <w:rsid w:val="06FE6B3F"/>
    <w:rsid w:val="1A9963BC"/>
    <w:rsid w:val="1CDD0D1E"/>
    <w:rsid w:val="2C675B86"/>
    <w:rsid w:val="3083300A"/>
    <w:rsid w:val="33FC2760"/>
    <w:rsid w:val="3BBC0A01"/>
    <w:rsid w:val="3D0A5A80"/>
    <w:rsid w:val="410244B2"/>
    <w:rsid w:val="49D10E80"/>
    <w:rsid w:val="4A3758CE"/>
    <w:rsid w:val="5010396C"/>
    <w:rsid w:val="562276C7"/>
    <w:rsid w:val="5B5612A6"/>
    <w:rsid w:val="5D1935F0"/>
    <w:rsid w:val="6A840575"/>
    <w:rsid w:val="6D3B73A2"/>
    <w:rsid w:val="74A86150"/>
    <w:rsid w:val="76C15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center"/>
    </w:pPr>
    <w:rPr>
      <w:rFonts w:ascii="华文仿宋" w:hAnsi="华文仿宋" w:eastAsia="华文仿宋" w:cs="华文仿宋"/>
      <w:kern w:val="2"/>
      <w:sz w:val="30"/>
      <w:szCs w:val="30"/>
      <w:lang w:val="en-US" w:eastAsia="zh-CN" w:bidi="ar-SA"/>
    </w:rPr>
  </w:style>
  <w:style w:type="character" w:default="1" w:styleId="5">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2">
    <w:name w:val="Title"/>
    <w:basedOn w:val="1"/>
    <w:next w:val="1"/>
    <w:link w:val="7"/>
    <w:autoRedefine/>
    <w:qFormat/>
    <w:uiPriority w:val="10"/>
    <w:pPr>
      <w:spacing w:before="240" w:after="60"/>
      <w:outlineLvl w:val="0"/>
    </w:pPr>
    <w:rPr>
      <w:rFonts w:asciiTheme="majorHAnsi" w:hAnsiTheme="majorHAnsi" w:eastAsiaTheme="majorEastAsia" w:cstheme="majorBidi"/>
      <w:b/>
      <w:bCs/>
      <w:sz w:val="32"/>
      <w:szCs w:val="32"/>
    </w:rPr>
  </w:style>
  <w:style w:type="table" w:styleId="4">
    <w:name w:val="Table Grid"/>
    <w:basedOn w:val="3"/>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autoRedefine/>
    <w:semiHidden/>
    <w:unhideWhenUsed/>
    <w:qFormat/>
    <w:uiPriority w:val="99"/>
    <w:rPr>
      <w:color w:val="0000FF"/>
      <w:u w:val="single"/>
    </w:rPr>
  </w:style>
  <w:style w:type="character" w:customStyle="1" w:styleId="7">
    <w:name w:val="标题 字符"/>
    <w:basedOn w:val="5"/>
    <w:link w:val="2"/>
    <w:autoRedefine/>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258</Words>
  <Characters>265</Characters>
  <Lines>21</Lines>
  <Paragraphs>5</Paragraphs>
  <TotalTime>0</TotalTime>
  <ScaleCrop>false</ScaleCrop>
  <LinksUpToDate>false</LinksUpToDate>
  <CharactersWithSpaces>267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2024-04-24T08:12:00Z</dcterms:created>
  <dc:creator>LuMeng</dc:creator>
  <cp:lastModifiedBy>HSG</cp:lastModifiedBy>
  <cp:lastPrinted>2024-04-10T03:22:00Z</cp:lastPrinted>
  <dcterms:modified xsi:type="dcterms:W3CDTF">2026-10-12T02:36:07Z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331D27163519495F92366CCA234D7E12_13</vt:lpwstr>
  </property>
</Properties>
</file>